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34CB" w14:textId="77777777" w:rsidR="003034D0" w:rsidRPr="001963FA" w:rsidRDefault="0042316A" w:rsidP="009F2B3A">
      <w:pPr>
        <w:jc w:val="center"/>
        <w:rPr>
          <w:sz w:val="28"/>
        </w:rPr>
      </w:pPr>
      <w:r w:rsidRPr="00AF42A9">
        <w:rPr>
          <w:sz w:val="28"/>
          <w:highlight w:val="cyan"/>
        </w:rPr>
        <w:t>Contextualización del programa de la unidad de aprendizaje</w:t>
      </w:r>
      <w:r w:rsidR="002379C8" w:rsidRPr="00AF42A9">
        <w:rPr>
          <w:sz w:val="28"/>
          <w:highlight w:val="cyan"/>
        </w:rPr>
        <w:t xml:space="preserve"> Periodoncia</w:t>
      </w:r>
      <w:r w:rsidRPr="00AF42A9">
        <w:rPr>
          <w:sz w:val="28"/>
          <w:highlight w:val="cyan"/>
        </w:rPr>
        <w:t xml:space="preserve"> en el plan de estudios</w:t>
      </w:r>
      <w:r w:rsidR="001963FA">
        <w:rPr>
          <w:sz w:val="28"/>
        </w:rPr>
        <w:t xml:space="preserve"> </w:t>
      </w:r>
    </w:p>
    <w:tbl>
      <w:tblPr>
        <w:tblStyle w:val="Cuadrculamedia1-nfasis4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1963FA" w:rsidRPr="001963FA" w14:paraId="79F934D0" w14:textId="77777777" w:rsidTr="00CF4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9F934CC" w14:textId="77777777" w:rsidR="009F2B3A" w:rsidRPr="001963FA" w:rsidRDefault="009F2B3A">
            <w:r w:rsidRPr="001963FA">
              <w:t>Competencia, propósito u objetivo general de la unidad de aprendizaje</w:t>
            </w:r>
          </w:p>
        </w:tc>
        <w:tc>
          <w:tcPr>
            <w:tcW w:w="7088" w:type="dxa"/>
          </w:tcPr>
          <w:p w14:paraId="79F934CD" w14:textId="77777777" w:rsidR="009F2B3A" w:rsidRDefault="009F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963FA">
              <w:rPr>
                <w:b w:val="0"/>
              </w:rPr>
              <w:t>Estructurar una guía de estudio para la asignatura de Periodoncia con el fin de que se pueda identificar, prevenir, diagnosticar y realizar un tratamiento para todas aquellas patologías relaciona</w:t>
            </w:r>
            <w:r w:rsidR="00322C1A">
              <w:rPr>
                <w:b w:val="0"/>
              </w:rPr>
              <w:t>das a los tejidos de soporte.</w:t>
            </w:r>
          </w:p>
          <w:p w14:paraId="79F934CE" w14:textId="77777777" w:rsidR="00322C1A" w:rsidRPr="001963FA" w:rsidRDefault="00322C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79F934CF" w14:textId="77777777" w:rsidR="009F2B3A" w:rsidRPr="001963FA" w:rsidRDefault="009F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3FA" w:rsidRPr="001963FA" w14:paraId="79F934DC" w14:textId="77777777" w:rsidTr="00CF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9F934D1" w14:textId="77777777" w:rsidR="009F2B3A" w:rsidRPr="001963FA" w:rsidRDefault="009F2B3A">
            <w:r w:rsidRPr="001963FA">
              <w:t>Objetivos Curriculares</w:t>
            </w:r>
          </w:p>
        </w:tc>
        <w:tc>
          <w:tcPr>
            <w:tcW w:w="7088" w:type="dxa"/>
          </w:tcPr>
          <w:p w14:paraId="79F934D2" w14:textId="77777777" w:rsidR="009F2B3A" w:rsidRPr="001963FA" w:rsidRDefault="003F45F0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 xml:space="preserve">1. </w:t>
            </w:r>
            <w:r w:rsidR="009F2B3A" w:rsidRPr="001963FA">
              <w:t>Identificar las características, composición y función de los tejidos de soporte</w:t>
            </w:r>
            <w:r w:rsidR="00B317CF" w:rsidRPr="001963FA">
              <w:t>.</w:t>
            </w:r>
          </w:p>
          <w:p w14:paraId="79F934D3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934D4" w14:textId="77777777" w:rsidR="009F2B3A" w:rsidRPr="001963FA" w:rsidRDefault="003F45F0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 xml:space="preserve">2. </w:t>
            </w:r>
            <w:r w:rsidR="009F2B3A" w:rsidRPr="001963FA">
              <w:t xml:space="preserve">Explicar El biofilm, su composición, características y sus efectos </w:t>
            </w:r>
            <w:r w:rsidR="00B22650" w:rsidRPr="001963FA">
              <w:t>patogénicos</w:t>
            </w:r>
            <w:r w:rsidR="009F2B3A" w:rsidRPr="001963FA">
              <w:t xml:space="preserve"> en el organismo</w:t>
            </w:r>
            <w:r w:rsidR="00B317CF" w:rsidRPr="001963FA">
              <w:t>.</w:t>
            </w:r>
          </w:p>
          <w:p w14:paraId="79F934D5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934D6" w14:textId="77777777" w:rsidR="009F2B3A" w:rsidRPr="001963FA" w:rsidRDefault="003F45F0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 xml:space="preserve">3. </w:t>
            </w:r>
            <w:r w:rsidR="009F2B3A" w:rsidRPr="001963FA">
              <w:t xml:space="preserve">Mostrar El procedimiento adecuado para la realización del diagnóstico, </w:t>
            </w:r>
            <w:r w:rsidR="00B317CF" w:rsidRPr="001963FA">
              <w:t>pronóstico, y plan de tratamiento.</w:t>
            </w:r>
          </w:p>
          <w:p w14:paraId="79F934D7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934D8" w14:textId="77777777" w:rsidR="009F2B3A" w:rsidRPr="001963FA" w:rsidRDefault="003F45F0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 xml:space="preserve">4. </w:t>
            </w:r>
            <w:r w:rsidR="009F2B3A" w:rsidRPr="001963FA">
              <w:t>Definir aquellas patologías que repercuten en los tejidos de soporte así como sus efectos a corto y largo plazo.</w:t>
            </w:r>
          </w:p>
          <w:p w14:paraId="79F934D9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934DA" w14:textId="77777777" w:rsidR="009F2B3A" w:rsidRPr="001963FA" w:rsidRDefault="003F45F0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 xml:space="preserve">5. </w:t>
            </w:r>
            <w:r w:rsidR="009F2B3A" w:rsidRPr="001963FA">
              <w:t>Determinar el correcto manejo del tratamiento integral en base al diagnóstico del paciente.</w:t>
            </w:r>
          </w:p>
          <w:p w14:paraId="79F934DB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63FA" w:rsidRPr="001963FA" w14:paraId="79F934E0" w14:textId="77777777" w:rsidTr="00CF4A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9F934DD" w14:textId="77777777" w:rsidR="009F2B3A" w:rsidRPr="001963FA" w:rsidRDefault="009F2B3A">
            <w:r w:rsidRPr="001963FA">
              <w:t>Explicación de cómo la competencia de la unidad de aprendizaje contribuye al logro de los objetivos curriculares y/o al desarrollo del perfil de egreso del plan de estudios</w:t>
            </w:r>
          </w:p>
        </w:tc>
        <w:tc>
          <w:tcPr>
            <w:tcW w:w="7088" w:type="dxa"/>
          </w:tcPr>
          <w:p w14:paraId="79F934DE" w14:textId="77777777" w:rsidR="009F2B3A" w:rsidRPr="001963FA" w:rsidRDefault="009F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63FA">
              <w:t>Al realizar una guía de estudio se pueden explicar temas que pueden resultar confusos para los alumnos, explicándolos de manera concisa y breve de forma que se puedan comprender de una manera más sencilla, además de proporcionar bibliografía que puede resultar de utilidad para el alumno.</w:t>
            </w:r>
          </w:p>
          <w:p w14:paraId="79F934DF" w14:textId="77777777" w:rsidR="009F2B3A" w:rsidRPr="001963FA" w:rsidRDefault="009F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3FA" w:rsidRPr="001963FA" w14:paraId="79F934E4" w14:textId="77777777" w:rsidTr="00CF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9F934E1" w14:textId="77777777" w:rsidR="009F2B3A" w:rsidRPr="001963FA" w:rsidRDefault="009F2B3A">
            <w:r w:rsidRPr="001963FA">
              <w:t>Perfil de egreso</w:t>
            </w:r>
          </w:p>
          <w:p w14:paraId="79F934E2" w14:textId="77777777" w:rsidR="009F2B3A" w:rsidRPr="001963FA" w:rsidRDefault="009F2B3A"/>
        </w:tc>
        <w:tc>
          <w:tcPr>
            <w:tcW w:w="7088" w:type="dxa"/>
          </w:tcPr>
          <w:p w14:paraId="79F934E3" w14:textId="77777777" w:rsidR="009F2B3A" w:rsidRPr="001963FA" w:rsidRDefault="009F2B3A" w:rsidP="009F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63FA">
              <w:t>El Alumno Podrá Realizar un correcto manejo de aquellos pacientes que presenten patologías relacionadas al periodonto, así como su diagnóstico, tratamiento y su prevención.</w:t>
            </w:r>
          </w:p>
        </w:tc>
      </w:tr>
    </w:tbl>
    <w:p w14:paraId="79F934E5" w14:textId="77777777" w:rsidR="00C40E6F" w:rsidRDefault="00C40E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3500" wp14:editId="79F93501">
                <wp:simplePos x="0" y="0"/>
                <wp:positionH relativeFrom="column">
                  <wp:posOffset>1996440</wp:posOffset>
                </wp:positionH>
                <wp:positionV relativeFrom="paragraph">
                  <wp:posOffset>280646</wp:posOffset>
                </wp:positionV>
                <wp:extent cx="2487930" cy="532436"/>
                <wp:effectExtent l="57150" t="38100" r="83820" b="965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53243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93504" w14:textId="77777777" w:rsidR="00C40E6F" w:rsidRDefault="00C40E6F" w:rsidP="00C40E6F">
                            <w:pPr>
                              <w:jc w:val="center"/>
                            </w:pPr>
                            <w:r>
                              <w:t>Momento y fase en que se ubica la UA en el mapa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3500" id="2 Rectángulo" o:spid="_x0000_s1026" style="position:absolute;margin-left:157.2pt;margin-top:22.1pt;width:195.9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9F93504" w14:textId="77777777" w:rsidR="00C40E6F" w:rsidRDefault="00C40E6F" w:rsidP="00C40E6F">
                      <w:pPr>
                        <w:jc w:val="center"/>
                      </w:pPr>
                      <w:r>
                        <w:t>Momento y fase en que se ubica la UA en el mapa curricular</w:t>
                      </w:r>
                    </w:p>
                  </w:txbxContent>
                </v:textbox>
              </v:rect>
            </w:pict>
          </mc:Fallback>
        </mc:AlternateContent>
      </w:r>
    </w:p>
    <w:p w14:paraId="79F934E6" w14:textId="77777777" w:rsidR="001F462A" w:rsidRDefault="001F462A"/>
    <w:p w14:paraId="79F934E7" w14:textId="77777777" w:rsidR="001F462A" w:rsidRDefault="001F462A"/>
    <w:p w14:paraId="79F934EA" w14:textId="4B710AC8" w:rsidR="006101E2" w:rsidRDefault="001F462A">
      <w:r>
        <w:rPr>
          <w:noProof/>
          <w:lang w:val="es-MX" w:eastAsia="es-MX"/>
        </w:rPr>
        <w:drawing>
          <wp:inline distT="0" distB="0" distL="0" distR="0" wp14:anchorId="79F93502" wp14:editId="79F93503">
            <wp:extent cx="6585995" cy="2812648"/>
            <wp:effectExtent l="95250" t="38100" r="100965" b="8318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101E2" w:rsidSect="001F4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3569"/>
    <w:multiLevelType w:val="hybridMultilevel"/>
    <w:tmpl w:val="FA58CF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24BFC"/>
    <w:multiLevelType w:val="hybridMultilevel"/>
    <w:tmpl w:val="72688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96EB9"/>
    <w:multiLevelType w:val="hybridMultilevel"/>
    <w:tmpl w:val="225224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16A"/>
    <w:rsid w:val="000514E4"/>
    <w:rsid w:val="00084D46"/>
    <w:rsid w:val="001400E5"/>
    <w:rsid w:val="001963FA"/>
    <w:rsid w:val="001F462A"/>
    <w:rsid w:val="002379C8"/>
    <w:rsid w:val="002F6BD3"/>
    <w:rsid w:val="003034D0"/>
    <w:rsid w:val="00322C1A"/>
    <w:rsid w:val="0034116A"/>
    <w:rsid w:val="003F45F0"/>
    <w:rsid w:val="0042316A"/>
    <w:rsid w:val="004E5D2F"/>
    <w:rsid w:val="00535D20"/>
    <w:rsid w:val="005A1371"/>
    <w:rsid w:val="005C0AB7"/>
    <w:rsid w:val="005D6564"/>
    <w:rsid w:val="005F0ED6"/>
    <w:rsid w:val="006101E2"/>
    <w:rsid w:val="007C0801"/>
    <w:rsid w:val="008C1CB0"/>
    <w:rsid w:val="008D0354"/>
    <w:rsid w:val="00915279"/>
    <w:rsid w:val="009F2B3A"/>
    <w:rsid w:val="009F7B79"/>
    <w:rsid w:val="00AD52C7"/>
    <w:rsid w:val="00AF42A9"/>
    <w:rsid w:val="00B22650"/>
    <w:rsid w:val="00B317CF"/>
    <w:rsid w:val="00C40E6F"/>
    <w:rsid w:val="00CD481A"/>
    <w:rsid w:val="00CF4A20"/>
    <w:rsid w:val="00E14C88"/>
    <w:rsid w:val="00F254E4"/>
    <w:rsid w:val="00F344F7"/>
    <w:rsid w:val="00F63F38"/>
    <w:rsid w:val="00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34CB"/>
  <w15:docId w15:val="{50D5E98F-CC6C-40B4-A6E3-C794901D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61"/>
    <w:rsid w:val="0042316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media1-nfasis6">
    <w:name w:val="Medium Grid 1 Accent 6"/>
    <w:basedOn w:val="Tablanormal"/>
    <w:uiPriority w:val="67"/>
    <w:rsid w:val="004231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rafodelista">
    <w:name w:val="List Paragraph"/>
    <w:basedOn w:val="Normal"/>
    <w:uiPriority w:val="34"/>
    <w:qFormat/>
    <w:rsid w:val="00CD48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4D0"/>
    <w:rPr>
      <w:rFonts w:ascii="Tahoma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9F2B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1963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6101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media1-nfasis2">
    <w:name w:val="Medium Grid 1 Accent 2"/>
    <w:basedOn w:val="Tablanormal"/>
    <w:uiPriority w:val="67"/>
    <w:rsid w:val="006101E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4">
    <w:name w:val="Medium Grid 1 Accent 4"/>
    <w:basedOn w:val="Tablanormal"/>
    <w:uiPriority w:val="67"/>
    <w:rsid w:val="00CF4A2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894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30A199-AF35-494C-A489-451F9BC73BE0}" type="doc">
      <dgm:prSet loTypeId="urn:microsoft.com/office/officeart/2005/8/layout/hProcess9" loCatId="process" qsTypeId="urn:microsoft.com/office/officeart/2005/8/quickstyle/simple3" qsCatId="simple" csTypeId="urn:microsoft.com/office/officeart/2005/8/colors/colorful3" csCatId="colorful" phldr="1"/>
      <dgm:spPr/>
    </dgm:pt>
    <dgm:pt modelId="{5CB2836B-944F-4089-8981-A3C5FC23CAE0}">
      <dgm:prSet phldrT="[Texto]" custT="1"/>
      <dgm:spPr/>
      <dgm:t>
        <a:bodyPr/>
        <a:lstStyle/>
        <a:p>
          <a:pPr algn="ctr"/>
          <a:r>
            <a:rPr lang="es-ES" sz="1200"/>
            <a:t>UA Previas</a:t>
          </a:r>
        </a:p>
        <a:p>
          <a:pPr algn="ctr"/>
          <a:endParaRPr lang="es-ES" sz="1200"/>
        </a:p>
        <a:p>
          <a:pPr algn="l"/>
          <a:r>
            <a:rPr lang="es-ES" sz="1200"/>
            <a:t>Anatomia </a:t>
          </a:r>
        </a:p>
        <a:p>
          <a:pPr algn="l"/>
          <a:r>
            <a:rPr lang="es-ES" sz="1200"/>
            <a:t>Anatomia dental</a:t>
          </a:r>
        </a:p>
        <a:p>
          <a:pPr algn="l"/>
          <a:r>
            <a:rPr lang="es-ES" sz="1200"/>
            <a:t>Radiologia dental</a:t>
          </a:r>
        </a:p>
        <a:p>
          <a:pPr algn="l"/>
          <a:r>
            <a:rPr lang="es-ES" sz="1200"/>
            <a:t>Patologia Bucal</a:t>
          </a:r>
        </a:p>
        <a:p>
          <a:pPr algn="l"/>
          <a:r>
            <a:rPr lang="es-ES" sz="1200"/>
            <a:t>Anestesia bucodental</a:t>
          </a:r>
        </a:p>
        <a:p>
          <a:pPr algn="l"/>
          <a:r>
            <a:rPr lang="es-ES" sz="1200"/>
            <a:t>Farmacologia</a:t>
          </a:r>
        </a:p>
        <a:p>
          <a:pPr algn="l"/>
          <a:r>
            <a:rPr lang="es-ES" sz="1200"/>
            <a:t>Tecnicas Quirurgicas</a:t>
          </a:r>
        </a:p>
      </dgm:t>
    </dgm:pt>
    <dgm:pt modelId="{82FF9F0F-ACB4-446B-990A-9A060910AFD9}" type="parTrans" cxnId="{0495C447-051C-4C4B-97B3-0500BD74B5BA}">
      <dgm:prSet/>
      <dgm:spPr/>
      <dgm:t>
        <a:bodyPr/>
        <a:lstStyle/>
        <a:p>
          <a:endParaRPr lang="es-ES" sz="1200"/>
        </a:p>
      </dgm:t>
    </dgm:pt>
    <dgm:pt modelId="{CB202B0D-4373-49DA-A0AC-220E8510CC58}" type="sibTrans" cxnId="{0495C447-051C-4C4B-97B3-0500BD74B5BA}">
      <dgm:prSet/>
      <dgm:spPr/>
      <dgm:t>
        <a:bodyPr/>
        <a:lstStyle/>
        <a:p>
          <a:endParaRPr lang="es-ES" sz="1200"/>
        </a:p>
      </dgm:t>
    </dgm:pt>
    <dgm:pt modelId="{ACDF3BF6-4DA0-4CE1-8B65-85CE41F321BC}">
      <dgm:prSet phldrT="[Texto]" custT="1"/>
      <dgm:spPr/>
      <dgm:t>
        <a:bodyPr/>
        <a:lstStyle/>
        <a:p>
          <a:pPr algn="ctr"/>
          <a:r>
            <a:rPr lang="es-ES" sz="1200"/>
            <a:t>UA Paralelas</a:t>
          </a:r>
        </a:p>
        <a:p>
          <a:pPr algn="ctr"/>
          <a:endParaRPr lang="es-ES" sz="1200"/>
        </a:p>
        <a:p>
          <a:pPr algn="l"/>
          <a:r>
            <a:rPr lang="es-ES" sz="1200"/>
            <a:t>Protesis Parcial  fija y removible</a:t>
          </a:r>
        </a:p>
        <a:p>
          <a:pPr algn="l"/>
          <a:r>
            <a:rPr lang="es-ES" sz="1200"/>
            <a:t>Exodoncia</a:t>
          </a:r>
        </a:p>
        <a:p>
          <a:pPr algn="l"/>
          <a:r>
            <a:rPr lang="es-ES" sz="1200"/>
            <a:t>Cx. Odontologia restaurativa</a:t>
          </a:r>
        </a:p>
        <a:p>
          <a:pPr algn="l"/>
          <a:r>
            <a:rPr lang="es-ES" sz="1200"/>
            <a:t>Cx. Endodoncia</a:t>
          </a:r>
        </a:p>
        <a:p>
          <a:pPr algn="l"/>
          <a:r>
            <a:rPr lang="es-ES" sz="1200"/>
            <a:t>Odontogeriatria</a:t>
          </a:r>
        </a:p>
      </dgm:t>
    </dgm:pt>
    <dgm:pt modelId="{6C629DC8-7AD3-4019-86EE-ED792101B58D}" type="parTrans" cxnId="{D6D78B10-D2CF-4E3A-8192-C46A329D944B}">
      <dgm:prSet/>
      <dgm:spPr/>
      <dgm:t>
        <a:bodyPr/>
        <a:lstStyle/>
        <a:p>
          <a:endParaRPr lang="es-ES" sz="1200"/>
        </a:p>
      </dgm:t>
    </dgm:pt>
    <dgm:pt modelId="{2CE2E69E-6B9A-4934-92D6-1392CEA8BEC0}" type="sibTrans" cxnId="{D6D78B10-D2CF-4E3A-8192-C46A329D944B}">
      <dgm:prSet/>
      <dgm:spPr/>
      <dgm:t>
        <a:bodyPr/>
        <a:lstStyle/>
        <a:p>
          <a:endParaRPr lang="es-ES" sz="1200"/>
        </a:p>
      </dgm:t>
    </dgm:pt>
    <dgm:pt modelId="{1384DB0D-81EC-4644-ADBD-76B4F20865A4}">
      <dgm:prSet phldrT="[Texto]" custT="1"/>
      <dgm:spPr/>
      <dgm:t>
        <a:bodyPr/>
        <a:lstStyle/>
        <a:p>
          <a:pPr algn="ctr"/>
          <a:r>
            <a:rPr lang="es-ES" sz="1200"/>
            <a:t>UA Posteriores</a:t>
          </a:r>
        </a:p>
        <a:p>
          <a:pPr algn="ctr"/>
          <a:endParaRPr lang="es-ES" sz="1200"/>
        </a:p>
        <a:p>
          <a:pPr algn="l"/>
          <a:r>
            <a:rPr lang="es-ES" sz="1200"/>
            <a:t>Cx. Periodoncia</a:t>
          </a:r>
        </a:p>
        <a:p>
          <a:pPr algn="l"/>
          <a:r>
            <a:rPr lang="es-ES" sz="1200"/>
            <a:t>Clinica intergral</a:t>
          </a:r>
        </a:p>
      </dgm:t>
    </dgm:pt>
    <dgm:pt modelId="{C17E2EED-31C2-47B3-AA04-43A7A0169827}" type="parTrans" cxnId="{0FEBE452-D9E5-44B6-84CD-D150035DC9EA}">
      <dgm:prSet/>
      <dgm:spPr/>
      <dgm:t>
        <a:bodyPr/>
        <a:lstStyle/>
        <a:p>
          <a:endParaRPr lang="es-ES" sz="1200"/>
        </a:p>
      </dgm:t>
    </dgm:pt>
    <dgm:pt modelId="{95CF6212-FEAF-4BB0-AB84-62C4FB1C0D7E}" type="sibTrans" cxnId="{0FEBE452-D9E5-44B6-84CD-D150035DC9EA}">
      <dgm:prSet/>
      <dgm:spPr/>
      <dgm:t>
        <a:bodyPr/>
        <a:lstStyle/>
        <a:p>
          <a:endParaRPr lang="es-ES" sz="1200"/>
        </a:p>
      </dgm:t>
    </dgm:pt>
    <dgm:pt modelId="{31F9E6A7-377D-4C27-A738-1502C78CCDFD}" type="pres">
      <dgm:prSet presAssocID="{7A30A199-AF35-494C-A489-451F9BC73BE0}" presName="CompostProcess" presStyleCnt="0">
        <dgm:presLayoutVars>
          <dgm:dir/>
          <dgm:resizeHandles val="exact"/>
        </dgm:presLayoutVars>
      </dgm:prSet>
      <dgm:spPr/>
    </dgm:pt>
    <dgm:pt modelId="{A59CD0D8-B366-40A6-B55A-B7237ED20933}" type="pres">
      <dgm:prSet presAssocID="{7A30A199-AF35-494C-A489-451F9BC73BE0}" presName="arrow" presStyleLbl="bgShp" presStyleIdx="0" presStyleCnt="1"/>
      <dgm:spPr/>
    </dgm:pt>
    <dgm:pt modelId="{1D9190AD-5911-4FB6-BF25-AC1A9EB41D61}" type="pres">
      <dgm:prSet presAssocID="{7A30A199-AF35-494C-A489-451F9BC73BE0}" presName="linearProcess" presStyleCnt="0"/>
      <dgm:spPr/>
    </dgm:pt>
    <dgm:pt modelId="{72E8E80D-7E9F-4260-96DB-FDCB63833EC4}" type="pres">
      <dgm:prSet presAssocID="{5CB2836B-944F-4089-8981-A3C5FC23CAE0}" presName="textNode" presStyleLbl="node1" presStyleIdx="0" presStyleCnt="3" custScaleY="203472">
        <dgm:presLayoutVars>
          <dgm:bulletEnabled val="1"/>
        </dgm:presLayoutVars>
      </dgm:prSet>
      <dgm:spPr/>
    </dgm:pt>
    <dgm:pt modelId="{5E060FC6-F6ED-4384-9A62-CB7944BB7C1F}" type="pres">
      <dgm:prSet presAssocID="{CB202B0D-4373-49DA-A0AC-220E8510CC58}" presName="sibTrans" presStyleCnt="0"/>
      <dgm:spPr/>
    </dgm:pt>
    <dgm:pt modelId="{C12A3B09-F526-45AE-BFF7-B49235E9FD7F}" type="pres">
      <dgm:prSet presAssocID="{ACDF3BF6-4DA0-4CE1-8B65-85CE41F321BC}" presName="textNode" presStyleLbl="node1" presStyleIdx="1" presStyleCnt="3" custScaleY="204653">
        <dgm:presLayoutVars>
          <dgm:bulletEnabled val="1"/>
        </dgm:presLayoutVars>
      </dgm:prSet>
      <dgm:spPr/>
    </dgm:pt>
    <dgm:pt modelId="{A2D7E718-49FC-436B-82D5-387D333DFFFC}" type="pres">
      <dgm:prSet presAssocID="{2CE2E69E-6B9A-4934-92D6-1392CEA8BEC0}" presName="sibTrans" presStyleCnt="0"/>
      <dgm:spPr/>
    </dgm:pt>
    <dgm:pt modelId="{7322F0D9-F145-457A-9819-47E243973788}" type="pres">
      <dgm:prSet presAssocID="{1384DB0D-81EC-4644-ADBD-76B4F20865A4}" presName="textNode" presStyleLbl="node1" presStyleIdx="2" presStyleCnt="3" custScaleY="155183">
        <dgm:presLayoutVars>
          <dgm:bulletEnabled val="1"/>
        </dgm:presLayoutVars>
      </dgm:prSet>
      <dgm:spPr/>
    </dgm:pt>
  </dgm:ptLst>
  <dgm:cxnLst>
    <dgm:cxn modelId="{3F52F208-8BD1-49B5-9688-3249E647F394}" type="presOf" srcId="{ACDF3BF6-4DA0-4CE1-8B65-85CE41F321BC}" destId="{C12A3B09-F526-45AE-BFF7-B49235E9FD7F}" srcOrd="0" destOrd="0" presId="urn:microsoft.com/office/officeart/2005/8/layout/hProcess9"/>
    <dgm:cxn modelId="{D6D78B10-D2CF-4E3A-8192-C46A329D944B}" srcId="{7A30A199-AF35-494C-A489-451F9BC73BE0}" destId="{ACDF3BF6-4DA0-4CE1-8B65-85CE41F321BC}" srcOrd="1" destOrd="0" parTransId="{6C629DC8-7AD3-4019-86EE-ED792101B58D}" sibTransId="{2CE2E69E-6B9A-4934-92D6-1392CEA8BEC0}"/>
    <dgm:cxn modelId="{0495C447-051C-4C4B-97B3-0500BD74B5BA}" srcId="{7A30A199-AF35-494C-A489-451F9BC73BE0}" destId="{5CB2836B-944F-4089-8981-A3C5FC23CAE0}" srcOrd="0" destOrd="0" parTransId="{82FF9F0F-ACB4-446B-990A-9A060910AFD9}" sibTransId="{CB202B0D-4373-49DA-A0AC-220E8510CC58}"/>
    <dgm:cxn modelId="{0FEBE452-D9E5-44B6-84CD-D150035DC9EA}" srcId="{7A30A199-AF35-494C-A489-451F9BC73BE0}" destId="{1384DB0D-81EC-4644-ADBD-76B4F20865A4}" srcOrd="2" destOrd="0" parTransId="{C17E2EED-31C2-47B3-AA04-43A7A0169827}" sibTransId="{95CF6212-FEAF-4BB0-AB84-62C4FB1C0D7E}"/>
    <dgm:cxn modelId="{275AAABA-9E89-4B2D-AD0D-062C51D70486}" type="presOf" srcId="{1384DB0D-81EC-4644-ADBD-76B4F20865A4}" destId="{7322F0D9-F145-457A-9819-47E243973788}" srcOrd="0" destOrd="0" presId="urn:microsoft.com/office/officeart/2005/8/layout/hProcess9"/>
    <dgm:cxn modelId="{E0DDFCCF-EAD2-4AD8-8030-B7EDF5AA6917}" type="presOf" srcId="{5CB2836B-944F-4089-8981-A3C5FC23CAE0}" destId="{72E8E80D-7E9F-4260-96DB-FDCB63833EC4}" srcOrd="0" destOrd="0" presId="urn:microsoft.com/office/officeart/2005/8/layout/hProcess9"/>
    <dgm:cxn modelId="{FDE6A1F7-0B77-493B-BDD3-CEAA33F5A9D1}" type="presOf" srcId="{7A30A199-AF35-494C-A489-451F9BC73BE0}" destId="{31F9E6A7-377D-4C27-A738-1502C78CCDFD}" srcOrd="0" destOrd="0" presId="urn:microsoft.com/office/officeart/2005/8/layout/hProcess9"/>
    <dgm:cxn modelId="{8554405B-FF04-469B-B9B1-F859A28C6AAD}" type="presParOf" srcId="{31F9E6A7-377D-4C27-A738-1502C78CCDFD}" destId="{A59CD0D8-B366-40A6-B55A-B7237ED20933}" srcOrd="0" destOrd="0" presId="urn:microsoft.com/office/officeart/2005/8/layout/hProcess9"/>
    <dgm:cxn modelId="{7582B63B-9279-4420-B7E7-34A96F484D74}" type="presParOf" srcId="{31F9E6A7-377D-4C27-A738-1502C78CCDFD}" destId="{1D9190AD-5911-4FB6-BF25-AC1A9EB41D61}" srcOrd="1" destOrd="0" presId="urn:microsoft.com/office/officeart/2005/8/layout/hProcess9"/>
    <dgm:cxn modelId="{8A2BC571-CD17-44B4-874D-6CFC697F8EEF}" type="presParOf" srcId="{1D9190AD-5911-4FB6-BF25-AC1A9EB41D61}" destId="{72E8E80D-7E9F-4260-96DB-FDCB63833EC4}" srcOrd="0" destOrd="0" presId="urn:microsoft.com/office/officeart/2005/8/layout/hProcess9"/>
    <dgm:cxn modelId="{5886BD74-CEFE-4CB0-9B54-0AF7BE3F7594}" type="presParOf" srcId="{1D9190AD-5911-4FB6-BF25-AC1A9EB41D61}" destId="{5E060FC6-F6ED-4384-9A62-CB7944BB7C1F}" srcOrd="1" destOrd="0" presId="urn:microsoft.com/office/officeart/2005/8/layout/hProcess9"/>
    <dgm:cxn modelId="{5F3FE45D-A66B-4729-B77F-CD06D5EB63C5}" type="presParOf" srcId="{1D9190AD-5911-4FB6-BF25-AC1A9EB41D61}" destId="{C12A3B09-F526-45AE-BFF7-B49235E9FD7F}" srcOrd="2" destOrd="0" presId="urn:microsoft.com/office/officeart/2005/8/layout/hProcess9"/>
    <dgm:cxn modelId="{80AC2835-9AAF-4997-B988-B26EFAFC3770}" type="presParOf" srcId="{1D9190AD-5911-4FB6-BF25-AC1A9EB41D61}" destId="{A2D7E718-49FC-436B-82D5-387D333DFFFC}" srcOrd="3" destOrd="0" presId="urn:microsoft.com/office/officeart/2005/8/layout/hProcess9"/>
    <dgm:cxn modelId="{3A5E2E88-E1AC-4C0B-B662-B1A78DB28D3C}" type="presParOf" srcId="{1D9190AD-5911-4FB6-BF25-AC1A9EB41D61}" destId="{7322F0D9-F145-457A-9819-47E24397378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9CD0D8-B366-40A6-B55A-B7237ED20933}">
      <dsp:nvSpPr>
        <dsp:cNvPr id="0" name=""/>
        <dsp:cNvSpPr/>
      </dsp:nvSpPr>
      <dsp:spPr>
        <a:xfrm>
          <a:off x="493949" y="0"/>
          <a:ext cx="5598095" cy="2812648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2E8E80D-7E9F-4260-96DB-FDCB63833EC4}">
      <dsp:nvSpPr>
        <dsp:cNvPr id="0" name=""/>
        <dsp:cNvSpPr/>
      </dsp:nvSpPr>
      <dsp:spPr>
        <a:xfrm>
          <a:off x="3215" y="261733"/>
          <a:ext cx="1987375" cy="228918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UA Previas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Anatomia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Anatomia dental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Radiologia dental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Patologia Bucal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Anestesia bucodental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Farmacologia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Tecnicas Quirurgicas</a:t>
          </a:r>
        </a:p>
      </dsp:txBody>
      <dsp:txXfrm>
        <a:off x="100231" y="358749"/>
        <a:ext cx="1793343" cy="2095148"/>
      </dsp:txXfrm>
    </dsp:sp>
    <dsp:sp modelId="{C12A3B09-F526-45AE-BFF7-B49235E9FD7F}">
      <dsp:nvSpPr>
        <dsp:cNvPr id="0" name=""/>
        <dsp:cNvSpPr/>
      </dsp:nvSpPr>
      <dsp:spPr>
        <a:xfrm>
          <a:off x="2299309" y="255090"/>
          <a:ext cx="1987375" cy="2302467"/>
        </a:xfrm>
        <a:prstGeom prst="roundRect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tint val="50000"/>
                <a:satMod val="300000"/>
              </a:schemeClr>
            </a:gs>
            <a:gs pos="35000">
              <a:schemeClr val="accent3">
                <a:hueOff val="5625132"/>
                <a:satOff val="-8440"/>
                <a:lumOff val="-1373"/>
                <a:alphaOff val="0"/>
                <a:tint val="37000"/>
                <a:satMod val="30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UA Paralelas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Protesis Parcial  fija y removible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Exodoncia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Cx. Odontologia restaurativa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Cx. Endodoncia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Odontogeriatria</a:t>
          </a:r>
        </a:p>
      </dsp:txBody>
      <dsp:txXfrm>
        <a:off x="2396325" y="352106"/>
        <a:ext cx="1793343" cy="2108435"/>
      </dsp:txXfrm>
    </dsp:sp>
    <dsp:sp modelId="{7322F0D9-F145-457A-9819-47E243973788}">
      <dsp:nvSpPr>
        <dsp:cNvPr id="0" name=""/>
        <dsp:cNvSpPr/>
      </dsp:nvSpPr>
      <dsp:spPr>
        <a:xfrm>
          <a:off x="4595403" y="533373"/>
          <a:ext cx="1987375" cy="1745900"/>
        </a:xfrm>
        <a:prstGeom prst="round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UA Posteriores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Cx. Periodoncia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Clinica intergral</a:t>
          </a:r>
        </a:p>
      </dsp:txBody>
      <dsp:txXfrm>
        <a:off x="4680631" y="618601"/>
        <a:ext cx="1816919" cy="1575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ESTERILIZACION</dc:creator>
  <cp:lastModifiedBy>daniel rosas</cp:lastModifiedBy>
  <cp:revision>38</cp:revision>
  <dcterms:created xsi:type="dcterms:W3CDTF">2021-03-10T21:17:00Z</dcterms:created>
  <dcterms:modified xsi:type="dcterms:W3CDTF">2021-08-05T19:05:00Z</dcterms:modified>
</cp:coreProperties>
</file>