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75.0" w:type="dxa"/>
        <w:jc w:val="left"/>
        <w:tblInd w:w="-375.0" w:type="dxa"/>
        <w:tblBorders>
          <w:top w:color="ffd965" w:space="0" w:sz="4" w:val="single"/>
          <w:left w:color="ffd965" w:space="0" w:sz="4" w:val="single"/>
          <w:bottom w:color="ffd965" w:space="0" w:sz="4" w:val="single"/>
          <w:right w:color="ffd965" w:space="0" w:sz="4" w:val="single"/>
          <w:insideH w:color="ffd965" w:space="0" w:sz="4" w:val="single"/>
          <w:insideV w:color="ffd965" w:space="0" w:sz="4" w:val="single"/>
        </w:tblBorders>
        <w:tblLayout w:type="fixed"/>
        <w:tblLook w:val="04A0"/>
      </w:tblPr>
      <w:tblGrid>
        <w:gridCol w:w="2310"/>
        <w:gridCol w:w="2265"/>
        <w:gridCol w:w="2730"/>
        <w:gridCol w:w="1800"/>
        <w:gridCol w:w="2280"/>
        <w:gridCol w:w="2790"/>
        <w:tblGridChange w:id="0">
          <w:tblGrid>
            <w:gridCol w:w="2310"/>
            <w:gridCol w:w="2265"/>
            <w:gridCol w:w="2730"/>
            <w:gridCol w:w="1800"/>
            <w:gridCol w:w="2280"/>
            <w:gridCol w:w="2790"/>
          </w:tblGrid>
        </w:tblGridChange>
      </w:tblGrid>
      <w:tr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990.0" w:type="dxa"/>
              <w:jc w:val="left"/>
              <w:tblBorders>
                <w:top w:color="000000" w:space="0" w:sz="0" w:val="nil"/>
                <w:left w:color="000000" w:space="0" w:sz="0" w:val="nil"/>
                <w:bottom w:color="000000" w:space="0" w:sz="0" w:val="nil"/>
                <w:right w:color="000000" w:space="0" w:sz="0" w:val="nil"/>
              </w:tblBorders>
              <w:tblLayout w:type="fixed"/>
              <w:tblLook w:val="0000"/>
            </w:tblPr>
            <w:tblGrid>
              <w:gridCol w:w="1990"/>
              <w:tblGridChange w:id="0">
                <w:tblGrid>
                  <w:gridCol w:w="1990"/>
                </w:tblGrid>
              </w:tblGridChange>
            </w:tblGrid>
            <w:tr>
              <w:trPr>
                <w:trHeight w:val="153" w:hRule="atLeast"/>
              </w:trPr>
              <w:tc>
                <w:tcPr>
                  <w:tcMar>
                    <w:top w:w="0.0" w:type="dxa"/>
                    <w:bottom w:w="0.0" w:type="dxa"/>
                  </w:tcMar>
                </w:tcPr>
                <w:p w:rsidR="00000000" w:rsidDel="00000000" w:rsidP="00000000" w:rsidRDefault="00000000" w:rsidRPr="00000000" w14:paraId="00000006">
                  <w:pPr>
                    <w:keepNext w:val="0"/>
                    <w:keepLines w:val="0"/>
                    <w:widowControl w:val="1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40" w:lineRule="auto"/>
                    <w:ind w:left="0" w:right="0" w:firstLine="0"/>
                    <w:jc w:val="left"/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  <w:rtl w:val="0"/>
                    </w:rPr>
                    <w:t xml:space="preserve"> INTEGRANTES      </w:t>
                  </w:r>
                </w:p>
              </w:tc>
            </w:tr>
          </w:tbl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García Schalch Elsie Fernanda, Morales Rodríguez Erick Manuel, Sánchez Aguilar María Fernanda.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0" w:hRule="atLeast"/>
        </w:trPr>
        <w:tc>
          <w:tcPr/>
          <w:p w:rsidR="00000000" w:rsidDel="00000000" w:rsidP="00000000" w:rsidRDefault="00000000" w:rsidRPr="00000000" w14:paraId="0000000F">
            <w:pPr>
              <w:spacing w:after="200" w:before="200" w:lineRule="auto"/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Unidad de aprendizaje: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10">
            <w:pPr>
              <w:spacing w:before="20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Psicología de grupos e instituciones.</w:t>
            </w:r>
          </w:p>
        </w:tc>
      </w:tr>
      <w:tr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sz w:val="26"/>
                <w:szCs w:val="26"/>
                <w:rtl w:val="0"/>
              </w:rPr>
              <w:t xml:space="preserve">Unidad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Tema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Recurso 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 Actividad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Objetivo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6"/>
                <w:szCs w:val="2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6"/>
                <w:szCs w:val="26"/>
                <w:rtl w:val="0"/>
              </w:rPr>
              <w:t xml:space="preserve">Fecha programada para la entrega 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Material bibliográfico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PDF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Presentación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Video tutorial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Documento Word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Libro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Revistas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Simuladores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Organizadores gráficos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Enciclopedias, revistas en línea</w:t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Foro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Glosario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Examen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Tarea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Cuestionario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Juego Quizz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Tarea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Escrito de lo aprendido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Discusión grupal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Armado de un producto por equipo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Unidad temática I</w:t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Introducción a la psicología de los grupos e instituciones 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1.1 Definición de grupo e institución</w:t>
            </w:r>
          </w:p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1.2 Antecedentes históricos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1.3 Grupos e instituciones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1.4 Dispositivos institucionales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1.5 Dispositivos grupales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1.6 La transversalidad: Grupo sujeto y grupo objeto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1.7 Los momentos de la institución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1.1 Presentación. </w:t>
            </w:r>
          </w:p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1.2 Presentación. </w:t>
            </w:r>
          </w:p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1.3 Material (PDF) </w:t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1.4 Infografía </w:t>
            </w:r>
          </w:p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1.5 I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nfografía</w:t>
            </w:r>
          </w:p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1.6 Presentación</w:t>
            </w:r>
          </w:p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1.7 Video 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1.1 Cuestionario</w:t>
            </w:r>
          </w:p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1.2 Línea del tiempo</w:t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1.3 Organizador gráfico </w:t>
            </w:r>
          </w:p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1.4 Crucigrama </w:t>
            </w:r>
          </w:p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1.5 Crucigrama</w:t>
            </w:r>
          </w:p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1.6 Resumen</w:t>
            </w:r>
          </w:p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1.7 Organizador gráfico </w:t>
            </w:r>
          </w:p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1.1 Identificar y definir los conceptos de grupo e institución.</w:t>
            </w:r>
          </w:p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1.2 Conocer antecedentes de los grupos y las instituciones.</w:t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1.3 Comprender el punto de encuentro entre los grupos y las instituciones</w:t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1.4. Identificar y comprender los dispositivos institucionales.</w:t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1.5 Identificar y comprender los dispositivos grupales.</w:t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1.6 Comprender y explicar  la transversalidad desde las dimensiones grupales e institucionales.</w:t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1.7 Reconocer y comprender los momentos de cada institución. 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1.1 y 1.2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19-24 abril</w:t>
            </w:r>
          </w:p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1.3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26 de abril - 1º de mayo</w:t>
            </w:r>
          </w:p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1.4 y 1.5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3-8 de mayo</w:t>
            </w:r>
          </w:p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1.6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10-15 de mayo</w:t>
            </w:r>
          </w:p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1.7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17-22 de mayo</w:t>
            </w:r>
          </w:p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Examen de la unidad temática I</w:t>
            </w:r>
          </w:p>
        </w:tc>
      </w:tr>
      <w:tr>
        <w:trPr>
          <w:trHeight w:val="6658.9453125" w:hRule="atLeast"/>
        </w:trPr>
        <w:tc>
          <w:tcPr/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Unidad temática II </w:t>
            </w:r>
          </w:p>
          <w:p w:rsidR="00000000" w:rsidDel="00000000" w:rsidP="00000000" w:rsidRDefault="00000000" w:rsidRPr="00000000" w14:paraId="00000084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Estructura y dinámica grupal e institucional 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2.1 Aparatos ideológicos del estado </w:t>
            </w:r>
          </w:p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2.2 Estructura de poder, el arte de distribuir los cuerpos: panoptismo</w:t>
            </w:r>
          </w:p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2.3 Dispositivo</w:t>
            </w:r>
          </w:p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2.4 Diagrama</w:t>
            </w:r>
          </w:p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2.5 Imaginario social</w:t>
            </w:r>
          </w:p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2.6 Modos de acción institucionales, contrainstitucionales y no-institucionales </w:t>
            </w:r>
          </w:p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 Formas de institucionalización y sus modos de subjetivación</w:t>
            </w:r>
          </w:p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2.7.1 La familia nuclear burguesa</w:t>
            </w:r>
          </w:p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2.7.2 La escuela </w:t>
            </w:r>
          </w:p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2.7.3 El hospital</w:t>
            </w:r>
          </w:p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2.7.4 La fábrica </w:t>
            </w:r>
          </w:p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2.7.5 La confesión versus técnica de dirección de conciencia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2.1 Presentación</w:t>
            </w:r>
          </w:p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2.2 Presentación </w:t>
            </w:r>
          </w:p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2.3 Infografía</w:t>
            </w:r>
          </w:p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2.4 Infografía </w:t>
            </w:r>
          </w:p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2.5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Presentación</w:t>
            </w:r>
          </w:p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2.6 Vídeo </w:t>
            </w:r>
          </w:p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 Presentación</w:t>
            </w:r>
          </w:p>
        </w:tc>
        <w:tc>
          <w:tcPr/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2.1 Organizador gráfico</w:t>
            </w:r>
          </w:p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2.2 Resumen  </w:t>
            </w:r>
          </w:p>
          <w:p w:rsidR="00000000" w:rsidDel="00000000" w:rsidP="00000000" w:rsidRDefault="00000000" w:rsidRPr="00000000" w14:paraId="000000A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2.3 Crucigrama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2.4 Crucigrama </w:t>
            </w:r>
          </w:p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2.5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Infografía</w:t>
            </w:r>
          </w:p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2.6 Resumen </w:t>
            </w:r>
          </w:p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 Reflexión de lo aprendido y la relación con un ejemplo de su entorno (considerando una o varias de las instituciones establecidas en los subtemas)</w:t>
            </w:r>
          </w:p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2.1 Identificar y comprender los componentes, funciones y orígenes de los aparatos ideológicos del estado. </w:t>
            </w:r>
          </w:p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2.2 Comprender cuál es la estructura del poder, así como la influencia que tiene en los individuos.</w:t>
            </w:r>
          </w:p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2.3 Identificar qué es un dispositivo y comprender cómo funciona.</w:t>
            </w:r>
          </w:p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2.4 Comprender y explicar la existencia y función de un diagrama grupal y lo institucional </w:t>
            </w:r>
          </w:p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2.5.1 Identificar los componentes del imaginario social y comprender cómo funciona el imaginario social. </w:t>
            </w:r>
          </w:p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2.6 Identificar y comprender los diferentes tipos de acción. </w:t>
            </w:r>
          </w:p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2.7 Reflexionar sobre las diferentes formas de institucionalización y comprender sus características.  </w:t>
            </w:r>
          </w:p>
        </w:tc>
        <w:tc>
          <w:tcPr/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2.1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24-29 de mayo</w:t>
            </w:r>
          </w:p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2.2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31-5 de junio</w:t>
            </w:r>
          </w:p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2.3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7-12 de junio </w:t>
            </w:r>
          </w:p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2.4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14-19 de junio</w:t>
            </w:r>
          </w:p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2.5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21-26 de junio</w:t>
            </w:r>
          </w:p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2.6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28-3 de julio</w:t>
            </w:r>
          </w:p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2.7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5-10 de julio</w:t>
            </w:r>
          </w:p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5" w:hRule="atLeast"/>
        </w:trPr>
        <w:tc>
          <w:tcPr/>
          <w:p w:rsidR="00000000" w:rsidDel="00000000" w:rsidP="00000000" w:rsidRDefault="00000000" w:rsidRPr="00000000" w14:paraId="000000D0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Exámen de la unidad temática II</w:t>
            </w:r>
          </w:p>
        </w:tc>
      </w:tr>
      <w:tr>
        <w:tc>
          <w:tcPr/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Unidad temática III</w:t>
            </w:r>
          </w:p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sz w:val="24"/>
                <w:szCs w:val="24"/>
                <w:rtl w:val="0"/>
              </w:rPr>
              <w:t xml:space="preserve">Modelos de análisis de la dinámica grupal e institucional</w:t>
            </w:r>
          </w:p>
        </w:tc>
        <w:tc>
          <w:tcPr/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3.1 Introducción al terreno institucional </w:t>
            </w:r>
          </w:p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 Los modelos de intervención institucional </w:t>
            </w:r>
          </w:p>
          <w:p w:rsidR="00000000" w:rsidDel="00000000" w:rsidP="00000000" w:rsidRDefault="00000000" w:rsidRPr="00000000" w14:paraId="000000D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3.2.1 El socioanálisis</w:t>
            </w:r>
          </w:p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3.2.2 Intervención pedagógica</w:t>
            </w:r>
          </w:p>
          <w:p w:rsidR="00000000" w:rsidDel="00000000" w:rsidP="00000000" w:rsidRDefault="00000000" w:rsidRPr="00000000" w14:paraId="000000E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3.2.3 Intervención psicoanalítica </w:t>
            </w:r>
          </w:p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 Metodología del análisis grupal</w:t>
            </w:r>
          </w:p>
          <w:p w:rsidR="00000000" w:rsidDel="00000000" w:rsidP="00000000" w:rsidRDefault="00000000" w:rsidRPr="00000000" w14:paraId="000000E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3.3.1 Kaës</w:t>
            </w:r>
          </w:p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3.3.2 Bion</w:t>
            </w:r>
          </w:p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3.3.3 Anzieu </w:t>
            </w:r>
          </w:p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3.3.4 Fernández</w:t>
            </w:r>
          </w:p>
          <w:p w:rsidR="00000000" w:rsidDel="00000000" w:rsidP="00000000" w:rsidRDefault="00000000" w:rsidRPr="00000000" w14:paraId="000000E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3.3.5 Riviere</w:t>
            </w:r>
          </w:p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3.3.6 Lapassade</w:t>
            </w:r>
          </w:p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 Problemas institucionales mexicanos en el marco de la globalización </w:t>
            </w:r>
          </w:p>
          <w:p w:rsidR="00000000" w:rsidDel="00000000" w:rsidP="00000000" w:rsidRDefault="00000000" w:rsidRPr="00000000" w14:paraId="000000E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3.4.1 Democracia</w:t>
            </w:r>
          </w:p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3.4.2 Equidad</w:t>
            </w:r>
          </w:p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3.4.3 Género</w:t>
            </w:r>
          </w:p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3.4.4 Empleo: subempleo, desempleo, piratería, ambulantaje e informalidad</w:t>
            </w:r>
          </w:p>
          <w:p w:rsidR="00000000" w:rsidDel="00000000" w:rsidP="00000000" w:rsidRDefault="00000000" w:rsidRPr="00000000" w14:paraId="000000F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3.4.5 Mestizaje versus multietinicidad </w:t>
            </w:r>
          </w:p>
        </w:tc>
        <w:tc>
          <w:tcPr/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3.1 Lectura </w:t>
            </w:r>
          </w:p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 Presentación </w:t>
            </w:r>
          </w:p>
          <w:p w:rsidR="00000000" w:rsidDel="00000000" w:rsidP="00000000" w:rsidRDefault="00000000" w:rsidRPr="00000000" w14:paraId="000000F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 Vídeo </w:t>
            </w:r>
          </w:p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 Artículos y material bibliográfico </w:t>
            </w:r>
          </w:p>
          <w:p w:rsidR="00000000" w:rsidDel="00000000" w:rsidP="00000000" w:rsidRDefault="00000000" w:rsidRPr="00000000" w14:paraId="000000F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3.1 Resumen y glosario</w:t>
            </w:r>
          </w:p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 Organizadores gráficos </w:t>
            </w:r>
          </w:p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 Organizadores gráficos </w:t>
            </w:r>
          </w:p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 Reflexión con base en un ejemplo propuesto por el estudiante</w:t>
            </w:r>
          </w:p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3.1 Aprender acerca del qué es el terreno institucional y sus principales características.  </w:t>
            </w:r>
          </w:p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3.2. 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Comprender los modelos de intervención institucional y entender su aplicación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3.3 Identificar y estudiar las características del análisis grupal de acuerdo al autor de referencia.</w:t>
            </w:r>
          </w:p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3.4 Reflexionar acerca de la situación de las instituciones mexicanas en diferentes ámbitos con relación a la globalización.</w:t>
            </w:r>
          </w:p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C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3.1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12-17 de julio</w:t>
            </w:r>
          </w:p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3.2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19-23 de julio</w:t>
            </w:r>
          </w:p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3.3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26-31 de julio</w:t>
            </w:r>
          </w:p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3.4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2-7 de agosto </w:t>
            </w:r>
          </w:p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40" w:hRule="atLeast"/>
        </w:trPr>
        <w:tc>
          <w:tcPr/>
          <w:p w:rsidR="00000000" w:rsidDel="00000000" w:rsidP="00000000" w:rsidRDefault="00000000" w:rsidRPr="00000000" w14:paraId="00000114">
            <w:pPr>
              <w:rPr>
                <w:rFonts w:ascii="Arial" w:cs="Arial" w:eastAsia="Arial" w:hAnsi="Arial"/>
                <w:b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5">
            <w:pPr>
              <w:jc w:val="center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Examen de la unidad temática III</w:t>
            </w:r>
          </w:p>
        </w:tc>
      </w:tr>
    </w:tbl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048.937007874016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39"/>
    <w:rsid w:val="00322F1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 w:customStyle="1">
    <w:name w:val="Default"/>
    <w:rsid w:val="00322F19"/>
    <w:pPr>
      <w:autoSpaceDE w:val="0"/>
      <w:autoSpaceDN w:val="0"/>
      <w:adjustRightInd w:val="0"/>
      <w:spacing w:after="0" w:line="240" w:lineRule="auto"/>
    </w:pPr>
    <w:rPr>
      <w:rFonts w:ascii="Caviar Dreams" w:cs="Caviar Dreams" w:hAnsi="Caviar Dreams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 w:val="1"/>
    <w:rsid w:val="00407141"/>
    <w:pPr>
      <w:ind w:left="720"/>
      <w:contextualSpacing w:val="1"/>
    </w:pPr>
  </w:style>
  <w:style w:type="table" w:styleId="Tablanormal3">
    <w:name w:val="Plain Table 3"/>
    <w:basedOn w:val="Tablanormal"/>
    <w:uiPriority w:val="43"/>
    <w:rsid w:val="008B0D8A"/>
    <w:pPr>
      <w:spacing w:after="0" w:line="240" w:lineRule="auto"/>
    </w:pPr>
    <w:tblPr>
      <w:tblStyleRowBandSize w:val="1"/>
      <w:tblStyleColBandSize w:val="1"/>
    </w:tblPr>
    <w:tblStylePr w:type="firstRow">
      <w:rPr>
        <w:b w:val="1"/>
        <w:bCs w:val="1"/>
        <w:cap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  <w:caps w:val="1"/>
      </w:rPr>
      <w:tblPr/>
      <w:tcPr>
        <w:tcBorders>
          <w:top w:space="0" w:sz="0" w:val="nil"/>
        </w:tcBorders>
      </w:tcPr>
    </w:tblStylePr>
    <w:tblStylePr w:type="firstCol">
      <w:rPr>
        <w:b w:val="1"/>
        <w:bCs w:val="1"/>
        <w:caps w:val="1"/>
      </w:rPr>
      <w:tblPr/>
      <w:tcPr>
        <w:tcBorders>
          <w:right w:color="7f7f7f" w:space="0" w:sz="4" w:themeColor="text1" w:themeTint="000080" w:val="single"/>
        </w:tcBorders>
      </w:tcPr>
    </w:tblStylePr>
    <w:tblStylePr w:type="lastCol">
      <w:rPr>
        <w:b w:val="1"/>
        <w:bCs w:val="1"/>
        <w:caps w:val="1"/>
      </w:rPr>
      <w:tblPr/>
      <w:tcPr>
        <w:tcBorders>
          <w:left w:space="0" w:sz="0" w:val="nil"/>
        </w:tcBorders>
      </w:tc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</w:style>
  <w:style w:type="table" w:styleId="Tabladecuadrcula4-nfasis4">
    <w:name w:val="Grid Table 4 Accent 4"/>
    <w:basedOn w:val="Tablanormal"/>
    <w:uiPriority w:val="49"/>
    <w:rsid w:val="008B0D8A"/>
    <w:pPr>
      <w:spacing w:after="0" w:line="240" w:lineRule="auto"/>
    </w:pPr>
    <w:tblPr>
      <w:tblStyleRowBandSize w:val="1"/>
      <w:tblStyleColBandSize w:val="1"/>
      <w:tblBorders>
        <w:top w:color="ffd966" w:space="0" w:sz="4" w:themeColor="accent4" w:themeTint="000099" w:val="single"/>
        <w:left w:color="ffd966" w:space="0" w:sz="4" w:themeColor="accent4" w:themeTint="000099" w:val="single"/>
        <w:bottom w:color="ffd966" w:space="0" w:sz="4" w:themeColor="accent4" w:themeTint="000099" w:val="single"/>
        <w:right w:color="ffd966" w:space="0" w:sz="4" w:themeColor="accent4" w:themeTint="000099" w:val="single"/>
        <w:insideH w:color="ffd966" w:space="0" w:sz="4" w:themeColor="accent4" w:themeTint="000099" w:val="single"/>
        <w:insideV w:color="ffd966" w:space="0" w:sz="4" w:themeColor="accent4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ffc000" w:space="0" w:sz="4" w:themeColor="accent4" w:val="single"/>
          <w:left w:color="ffc000" w:space="0" w:sz="4" w:themeColor="accent4" w:val="single"/>
          <w:bottom w:color="ffc000" w:space="0" w:sz="4" w:themeColor="accent4" w:val="single"/>
          <w:right w:color="ffc000" w:space="0" w:sz="4" w:themeColor="accent4" w:val="single"/>
          <w:insideH w:space="0" w:sz="0" w:val="nil"/>
          <w:insideV w:space="0" w:sz="0" w:val="nil"/>
        </w:tcBorders>
        <w:shd w:color="auto" w:fill="ffc000" w:themeFill="accent4" w:val="clear"/>
      </w:tcPr>
    </w:tblStylePr>
    <w:tblStylePr w:type="lastRow">
      <w:rPr>
        <w:b w:val="1"/>
        <w:bCs w:val="1"/>
      </w:rPr>
      <w:tblPr/>
      <w:tcPr>
        <w:tcBorders>
          <w:top w:color="ffc000" w:space="0" w:sz="4" w:themeColor="accent4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ff2cc" w:themeFill="accent4" w:themeFillTint="000033" w:val="clear"/>
      </w:tcPr>
    </w:tblStylePr>
    <w:tblStylePr w:type="band1Horz">
      <w:tblPr/>
      <w:tcPr>
        <w:shd w:color="auto" w:fill="fff2cc" w:themeFill="accent4" w:themeFillTint="000033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ff2cc" w:val="clear"/>
      </w:tcPr>
    </w:tblStylePr>
    <w:tblStylePr w:type="band1Vert">
      <w:tcPr>
        <w:shd w:fill="fff2cc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ffc000" w:space="0" w:sz="4" w:val="single"/>
          <w:left w:color="ffc000" w:space="0" w:sz="4" w:val="single"/>
          <w:bottom w:color="ffc000" w:space="0" w:sz="4" w:val="single"/>
          <w:right w:color="ffc000" w:space="0" w:sz="4" w:val="single"/>
          <w:insideH w:color="000000" w:space="0" w:sz="0" w:val="nil"/>
          <w:insideV w:color="000000" w:space="0" w:sz="0" w:val="nil"/>
        </w:tcBorders>
        <w:shd w:fill="ffc000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ffc000" w:space="0" w:sz="4" w:val="single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m9rHre2H5Fc9BwOM5k81twOFGw==">AMUW2mWJSWCM+zbwGdJmhg0t1cshTrGfL0q5LeprFAwlG192FEaDKOODheIlB9BOUMhOcxCP9bCNBYXUaImSBLDVpDUHkNlmggNmc6P7b68uQKVjEPosXC9LP63Imfs4CaaR3PmYcMhtNg2aoWNniwtjHxks0Jbw9OYVEGU7KOZtjhaTFBANuM7usBJ/8gndyEuegmr7uPHLcWIyWFibkcLJCS+SlgkyoU3ea7FgF0TBTkeI6M0hjZggSD1I5A7LY0k28EizyjSxHe1T1kMadi88MFllXJ+Z4bg9CK2YgokFTGcBYalF13xfEg4HKDlcn8HRZbKteoLPiFNUc1mV8yc5eyG8UikSiIFJaDAMiKRkaHBalAgak28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2021-03-18T19:48:00Z</dcterms:created>
  <dc:creator>Tania Yazmin Andrade Ramirez</dc:creator>
</cp:coreProperties>
</file>